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256CF" w14:textId="2EF5F21E" w:rsidR="00D250B5" w:rsidRDefault="00923BEB" w:rsidP="00923BEB">
      <w:pPr>
        <w:jc w:val="right"/>
      </w:pPr>
      <w:r>
        <w:t xml:space="preserve">Sękocin Stary, 29 grudnia 2023 r. </w:t>
      </w:r>
    </w:p>
    <w:p w14:paraId="5CCCBBD3" w14:textId="354E6ACA" w:rsidR="00923BEB" w:rsidRDefault="00923BEB"/>
    <w:p w14:paraId="1C6398C2" w14:textId="710BB790" w:rsidR="00923BEB" w:rsidRPr="003B5D59" w:rsidRDefault="00923BEB">
      <w:pPr>
        <w:rPr>
          <w:rFonts w:cstheme="minorHAnsi"/>
        </w:rPr>
      </w:pPr>
      <w:r w:rsidRPr="003B5D59">
        <w:rPr>
          <w:rFonts w:cstheme="minorHAnsi"/>
        </w:rPr>
        <w:t>Szanowni Państwo,</w:t>
      </w:r>
    </w:p>
    <w:p w14:paraId="698E0506" w14:textId="05799208" w:rsidR="00923BEB" w:rsidRPr="003B5D59" w:rsidRDefault="00923BEB">
      <w:pPr>
        <w:rPr>
          <w:rFonts w:cstheme="minorHAnsi"/>
        </w:rPr>
      </w:pPr>
      <w:r w:rsidRPr="003B5D59">
        <w:rPr>
          <w:rFonts w:cstheme="minorHAnsi"/>
        </w:rPr>
        <w:t>Poniżej publikuj</w:t>
      </w:r>
      <w:r w:rsidR="003B5D59">
        <w:rPr>
          <w:rFonts w:cstheme="minorHAnsi"/>
        </w:rPr>
        <w:t>emy</w:t>
      </w:r>
      <w:r w:rsidRPr="003B5D59">
        <w:rPr>
          <w:rFonts w:cstheme="minorHAnsi"/>
        </w:rPr>
        <w:t xml:space="preserve"> listę pytań, które wpłynęły od potencjalnych Wykonawców wraz z udzielonymi odpowiedziami w sprawie zapytania ofertowego dotyczącego </w:t>
      </w:r>
      <w:r w:rsidRPr="003B5D59">
        <w:rPr>
          <w:rFonts w:cstheme="minorHAnsi"/>
        </w:rPr>
        <w:t>przeprowadzeni</w:t>
      </w:r>
      <w:r w:rsidRPr="003B5D59">
        <w:rPr>
          <w:rFonts w:cstheme="minorHAnsi"/>
        </w:rPr>
        <w:t>a</w:t>
      </w:r>
      <w:r w:rsidRPr="003B5D59">
        <w:rPr>
          <w:rFonts w:cstheme="minorHAnsi"/>
        </w:rPr>
        <w:t xml:space="preserve"> badania opinii publicznej w ramach projektu LIFE21-IPN-PL-WETLANDS GREEN LIFE „</w:t>
      </w:r>
      <w:r w:rsidRPr="003B5D59">
        <w:rPr>
          <w:rFonts w:cstheme="minorHAnsi"/>
          <w:b/>
          <w:bCs/>
        </w:rPr>
        <w:t>Odtworzenie oraz zachowanie obszarów bagiennych, torfowisk i terenów podmokłych na obszarach Natura 2000 i Zielonej Infrastruktury</w:t>
      </w:r>
      <w:r w:rsidRPr="003B5D59">
        <w:rPr>
          <w:rFonts w:cstheme="minorHAnsi"/>
        </w:rPr>
        <w:t>”</w:t>
      </w:r>
    </w:p>
    <w:p w14:paraId="2957B61B" w14:textId="03C11C18" w:rsidR="00923BEB" w:rsidRPr="003B5D59" w:rsidRDefault="00923BEB" w:rsidP="00923BEB">
      <w:pPr>
        <w:pStyle w:val="Akapitzlist"/>
        <w:numPr>
          <w:ilvl w:val="0"/>
          <w:numId w:val="2"/>
        </w:numPr>
        <w:autoSpaceDE w:val="0"/>
        <w:autoSpaceDN w:val="0"/>
        <w:spacing w:before="100" w:beforeAutospacing="1" w:after="120" w:line="276" w:lineRule="auto"/>
        <w:jc w:val="both"/>
        <w:rPr>
          <w:rFonts w:eastAsia="Times New Roman" w:cstheme="minorHAnsi"/>
          <w:lang w:eastAsia="pl-PL"/>
        </w:rPr>
      </w:pPr>
      <w:r w:rsidRPr="003B5D59">
        <w:rPr>
          <w:rFonts w:eastAsia="Times New Roman" w:cstheme="minorHAnsi"/>
          <w:lang w:eastAsia="pl-PL"/>
        </w:rPr>
        <w:t xml:space="preserve">W odniesieniu do treści zapytania ofertowego dotyczącego </w:t>
      </w:r>
      <w:r w:rsidRPr="003B5D59">
        <w:rPr>
          <w:rFonts w:eastAsia="Times New Roman" w:cstheme="minorHAnsi"/>
          <w:b/>
          <w:bCs/>
          <w:i/>
          <w:iCs/>
          <w:lang w:eastAsia="pl-PL"/>
        </w:rPr>
        <w:t xml:space="preserve">zamówienia polegającego na </w:t>
      </w:r>
      <w:bookmarkStart w:id="0" w:name="m_-3607598958304070295_m_313002416922119"/>
      <w:r w:rsidRPr="003B5D59">
        <w:rPr>
          <w:rFonts w:eastAsia="Times New Roman" w:cstheme="minorHAnsi"/>
          <w:b/>
          <w:bCs/>
          <w:i/>
          <w:iCs/>
          <w:lang w:eastAsia="pl-PL"/>
        </w:rPr>
        <w:t xml:space="preserve">przeprowadzeniu badania opinii publicznej w ramach projektu LIFE21-IPN-PL-WETLANDS GREEN LIFE „Odtworzenie oraz zachowanie obszarów bagiennych, torfowisk i terenów podmokłych na obszarach Natura 2000 i Zielonej Infrastruktury” </w:t>
      </w:r>
      <w:bookmarkEnd w:id="0"/>
      <w:r w:rsidRPr="003B5D59">
        <w:rPr>
          <w:rFonts w:eastAsia="Times New Roman" w:cstheme="minorHAnsi"/>
          <w:lang w:eastAsia="pl-PL"/>
        </w:rPr>
        <w:t>chciałabym zapytać o liczbę rolników w próbie. W zapytaniu podali Państwo, że w próbie powinno znaleźć się około 500 rolników, jednak z naszego doświadczenia wynika, że w badaniu realizowanym na panelu internetowym może to być bardzo trudne, znacząco wpłynie na koszty oraz długość realizacji takiego badania. W próbie głównej natomiast (N=16*200=3200) znajdzie się około 300 rolników. Czy byłaby możliwość zmiany tego zapisu w zapytaniu ofertowym, czy wymóg 500 rolników jest konieczny do realizacji tego badania?</w:t>
      </w:r>
    </w:p>
    <w:p w14:paraId="7C72174A" w14:textId="5C8610C5" w:rsidR="00923BEB" w:rsidRPr="003B5D59" w:rsidRDefault="00923BEB" w:rsidP="00923BEB">
      <w:pPr>
        <w:spacing w:before="100" w:beforeAutospacing="1" w:after="100" w:afterAutospacing="1" w:line="240" w:lineRule="auto"/>
        <w:rPr>
          <w:rFonts w:eastAsia="Times New Roman" w:cstheme="minorHAnsi"/>
          <w:lang w:eastAsia="pl-PL"/>
        </w:rPr>
      </w:pPr>
      <w:r w:rsidRPr="00923BEB">
        <w:rPr>
          <w:rFonts w:eastAsia="Times New Roman" w:cstheme="minorHAnsi"/>
          <w:u w:val="single"/>
          <w:lang w:eastAsia="pl-PL"/>
        </w:rPr>
        <w:t> </w:t>
      </w:r>
      <w:r w:rsidRPr="003B5D59">
        <w:rPr>
          <w:rFonts w:eastAsia="Times New Roman" w:cstheme="minorHAnsi"/>
          <w:u w:val="single"/>
          <w:lang w:eastAsia="pl-PL"/>
        </w:rPr>
        <w:t>Odpowiedź</w:t>
      </w:r>
      <w:r w:rsidRPr="003B5D59">
        <w:rPr>
          <w:rFonts w:eastAsia="Times New Roman" w:cstheme="minorHAnsi"/>
          <w:lang w:eastAsia="pl-PL"/>
        </w:rPr>
        <w:t>: „D</w:t>
      </w:r>
      <w:r w:rsidRPr="003B5D59">
        <w:rPr>
          <w:rFonts w:eastAsia="Times New Roman" w:cstheme="minorHAnsi"/>
          <w:lang w:eastAsia="pl-PL"/>
        </w:rPr>
        <w:t>okonaliśmy ponownej analizy grupy docelowej badania. Istotnie, założono, że w grupie docelowej badania ma się znaleźć około 500 rolników. Po dokonaniu ponownej analizy, uznaliśmy, że udział 300 rolników jest wystarczający. Przychylam się zatem do Państwa wniosku. Zmniejszona zostanie wymagana liczba rolników w próbie badania z 500 do 300.</w:t>
      </w:r>
    </w:p>
    <w:p w14:paraId="1E59984C" w14:textId="77777777" w:rsidR="00923BEB" w:rsidRPr="003B5D59" w:rsidRDefault="00923BEB" w:rsidP="00923BEB">
      <w:pPr>
        <w:spacing w:before="100" w:beforeAutospacing="1" w:after="100" w:afterAutospacing="1" w:line="240" w:lineRule="auto"/>
        <w:rPr>
          <w:rFonts w:eastAsia="Times New Roman" w:cstheme="minorHAnsi"/>
          <w:lang w:eastAsia="pl-PL"/>
        </w:rPr>
      </w:pPr>
      <w:r w:rsidRPr="003B5D59">
        <w:rPr>
          <w:rFonts w:eastAsia="Times New Roman" w:cstheme="minorHAnsi"/>
          <w:lang w:eastAsia="pl-PL"/>
        </w:rPr>
        <w:t>W związku z istotną zmianą opisu przedmiotu zamówienia, wydłużony zostanie termin złożenia ofert do 05 stycznia 2024 r.</w:t>
      </w:r>
    </w:p>
    <w:p w14:paraId="24F1E0F5" w14:textId="6E344C03" w:rsidR="00923BEB" w:rsidRPr="00923BEB" w:rsidRDefault="00923BEB" w:rsidP="00923BEB">
      <w:pPr>
        <w:spacing w:before="100" w:beforeAutospacing="1" w:after="100" w:afterAutospacing="1" w:line="240" w:lineRule="auto"/>
        <w:rPr>
          <w:rFonts w:eastAsia="Times New Roman" w:cstheme="minorHAnsi"/>
          <w:lang w:eastAsia="pl-PL"/>
        </w:rPr>
      </w:pPr>
      <w:r w:rsidRPr="003B5D59">
        <w:rPr>
          <w:rFonts w:eastAsia="Times New Roman" w:cstheme="minorHAnsi"/>
          <w:lang w:eastAsia="pl-PL"/>
        </w:rPr>
        <w:t>Zmiana zostanie opublikowana jeszcze w dniu dzisiejszym na stronie internetowej projektu.</w:t>
      </w:r>
    </w:p>
    <w:p w14:paraId="045DFDA7" w14:textId="6CE6F3D1" w:rsidR="00923BEB" w:rsidRPr="003B5D59" w:rsidRDefault="00923BEB" w:rsidP="003B5D59">
      <w:pPr>
        <w:pStyle w:val="Akapitzlist"/>
        <w:numPr>
          <w:ilvl w:val="0"/>
          <w:numId w:val="2"/>
        </w:numPr>
        <w:autoSpaceDE w:val="0"/>
        <w:autoSpaceDN w:val="0"/>
        <w:spacing w:before="100" w:beforeAutospacing="1" w:after="120" w:line="276" w:lineRule="auto"/>
        <w:jc w:val="both"/>
        <w:rPr>
          <w:rFonts w:eastAsia="Times New Roman" w:cstheme="minorHAnsi"/>
          <w:lang w:eastAsia="pl-PL"/>
        </w:rPr>
      </w:pPr>
      <w:r w:rsidRPr="003B5D59">
        <w:rPr>
          <w:rFonts w:eastAsia="Times New Roman" w:cstheme="minorHAnsi"/>
          <w:lang w:eastAsia="pl-PL"/>
        </w:rPr>
        <w:t>Zwracam się z zapytaniem w sprawie przetargu LIFE21-IPN-PL-WETLANDS GREEN LIFE, dla którego chcemy złożyć Państwu ofertę. Proszę o informację czy chcą Państwo, aby ankieta była zaprogramowana u nas czy we własnym zakresie? Dodatkowo proszę o informację jaka jest definicja klasyfikacji rolników według Państwa założeń?</w:t>
      </w:r>
    </w:p>
    <w:p w14:paraId="7324833F" w14:textId="1E71A82A" w:rsidR="00923BEB" w:rsidRPr="003B5D59" w:rsidRDefault="00923BEB" w:rsidP="00923BEB">
      <w:pPr>
        <w:jc w:val="both"/>
        <w:rPr>
          <w:rFonts w:eastAsia="Times New Roman" w:cstheme="minorHAnsi"/>
          <w:lang w:eastAsia="pl-PL"/>
        </w:rPr>
      </w:pPr>
      <w:r w:rsidRPr="003B5D59">
        <w:rPr>
          <w:rFonts w:eastAsia="Times New Roman" w:cstheme="minorHAnsi"/>
          <w:u w:val="single"/>
          <w:lang w:eastAsia="pl-PL"/>
        </w:rPr>
        <w:t>Odpowiedź</w:t>
      </w:r>
      <w:r w:rsidRPr="003B5D59">
        <w:rPr>
          <w:rFonts w:eastAsia="Times New Roman" w:cstheme="minorHAnsi"/>
          <w:lang w:eastAsia="pl-PL"/>
        </w:rPr>
        <w:t>: „</w:t>
      </w:r>
      <w:r w:rsidRPr="003B5D59">
        <w:rPr>
          <w:rFonts w:eastAsia="Times New Roman" w:cstheme="minorHAnsi"/>
          <w:lang w:eastAsia="pl-PL"/>
        </w:rPr>
        <w:t>Programowanie ankiety w ramach przedmiotowego Zamówienia jest zadaniem Wykonawcy.</w:t>
      </w:r>
      <w:r w:rsidRPr="003B5D59">
        <w:rPr>
          <w:rFonts w:eastAsia="Times New Roman" w:cstheme="minorHAnsi"/>
          <w:lang w:eastAsia="pl-PL"/>
        </w:rPr>
        <w:t xml:space="preserve"> </w:t>
      </w:r>
      <w:r w:rsidRPr="003B5D59">
        <w:rPr>
          <w:rFonts w:eastAsia="Times New Roman" w:cstheme="minorHAnsi"/>
          <w:lang w:eastAsia="pl-PL"/>
        </w:rPr>
        <w:t>Na potrzeby przedmiotowego badania przyjęto, że rolnicy, którzy mają stanowić część grupy respondentów, to osob</w:t>
      </w:r>
      <w:r w:rsidR="003B5D59" w:rsidRPr="003B5D59">
        <w:rPr>
          <w:rFonts w:eastAsia="Times New Roman" w:cstheme="minorHAnsi"/>
          <w:lang w:eastAsia="pl-PL"/>
        </w:rPr>
        <w:t>y</w:t>
      </w:r>
      <w:r w:rsidRPr="003B5D59">
        <w:rPr>
          <w:rFonts w:eastAsia="Times New Roman" w:cstheme="minorHAnsi"/>
          <w:lang w:eastAsia="pl-PL"/>
        </w:rPr>
        <w:t xml:space="preserve"> fizyczn</w:t>
      </w:r>
      <w:r w:rsidR="003B5D59" w:rsidRPr="003B5D59">
        <w:rPr>
          <w:rFonts w:eastAsia="Times New Roman" w:cstheme="minorHAnsi"/>
          <w:lang w:eastAsia="pl-PL"/>
        </w:rPr>
        <w:t>e</w:t>
      </w:r>
      <w:r w:rsidRPr="003B5D59">
        <w:rPr>
          <w:rFonts w:eastAsia="Times New Roman" w:cstheme="minorHAnsi"/>
          <w:lang w:eastAsia="pl-PL"/>
        </w:rPr>
        <w:t xml:space="preserve"> lub prawn</w:t>
      </w:r>
      <w:r w:rsidR="003B5D59" w:rsidRPr="003B5D59">
        <w:rPr>
          <w:rFonts w:eastAsia="Times New Roman" w:cstheme="minorHAnsi"/>
          <w:lang w:eastAsia="pl-PL"/>
        </w:rPr>
        <w:t>e</w:t>
      </w:r>
      <w:r w:rsidRPr="003B5D59">
        <w:rPr>
          <w:rFonts w:eastAsia="Times New Roman" w:cstheme="minorHAnsi"/>
          <w:lang w:eastAsia="pl-PL"/>
        </w:rPr>
        <w:t>, któr</w:t>
      </w:r>
      <w:r w:rsidR="003B5D59" w:rsidRPr="003B5D59">
        <w:rPr>
          <w:rFonts w:eastAsia="Times New Roman" w:cstheme="minorHAnsi"/>
          <w:lang w:eastAsia="pl-PL"/>
        </w:rPr>
        <w:t>e</w:t>
      </w:r>
      <w:r w:rsidRPr="003B5D59">
        <w:rPr>
          <w:rFonts w:eastAsia="Times New Roman" w:cstheme="minorHAnsi"/>
          <w:lang w:eastAsia="pl-PL"/>
        </w:rPr>
        <w:t xml:space="preserve"> prowadz</w:t>
      </w:r>
      <w:r w:rsidR="003B5D59" w:rsidRPr="003B5D59">
        <w:rPr>
          <w:rFonts w:eastAsia="Times New Roman" w:cstheme="minorHAnsi"/>
          <w:lang w:eastAsia="pl-PL"/>
        </w:rPr>
        <w:t>ą</w:t>
      </w:r>
      <w:r w:rsidRPr="003B5D59">
        <w:rPr>
          <w:rFonts w:eastAsia="Times New Roman" w:cstheme="minorHAnsi"/>
          <w:lang w:eastAsia="pl-PL"/>
        </w:rPr>
        <w:t xml:space="preserve"> działalność rolniczą.</w:t>
      </w:r>
      <w:r w:rsidRPr="003B5D59">
        <w:rPr>
          <w:rFonts w:eastAsia="Times New Roman" w:cstheme="minorHAnsi"/>
          <w:lang w:eastAsia="pl-PL"/>
        </w:rPr>
        <w:t>”</w:t>
      </w:r>
    </w:p>
    <w:p w14:paraId="0166AD14" w14:textId="77777777" w:rsidR="003B5D59" w:rsidRPr="003B5D59" w:rsidRDefault="003B5D59" w:rsidP="003B5D59">
      <w:pPr>
        <w:pStyle w:val="Akapitzlist"/>
        <w:numPr>
          <w:ilvl w:val="0"/>
          <w:numId w:val="2"/>
        </w:numPr>
        <w:autoSpaceDE w:val="0"/>
        <w:autoSpaceDN w:val="0"/>
        <w:spacing w:before="100" w:beforeAutospacing="1" w:after="120" w:line="276" w:lineRule="auto"/>
        <w:jc w:val="both"/>
        <w:rPr>
          <w:rFonts w:eastAsia="Times New Roman" w:cstheme="minorHAnsi"/>
          <w:lang w:eastAsia="pl-PL"/>
        </w:rPr>
      </w:pPr>
      <w:r w:rsidRPr="003B5D59">
        <w:rPr>
          <w:rFonts w:eastAsia="Times New Roman" w:cstheme="minorHAnsi"/>
          <w:lang w:eastAsia="pl-PL"/>
        </w:rPr>
        <w:t xml:space="preserve">W punkcie „IV. INFORMACJA O WARUNKACH UDZIAŁU W POSTĘPOWANIU” Zamawiający określił warunki udziału w postępowaniu tj. „posiadanie przez Wykonawcę certyfikatu Programu Kontroli Jakości Pracy Ankieterów (PKJPA) - Zamawiający uzna, że wykonawca spełnia warunek, jeżeli wykaże, że posiada certyfikat Programu Kontroli Jakości Pracy Ankieterów (PKJPA).”. </w:t>
      </w:r>
    </w:p>
    <w:p w14:paraId="404656B0" w14:textId="30034508" w:rsidR="003B5D59" w:rsidRPr="003B5D59" w:rsidRDefault="003B5D59" w:rsidP="003B5D59">
      <w:pPr>
        <w:autoSpaceDE w:val="0"/>
        <w:autoSpaceDN w:val="0"/>
        <w:spacing w:before="100" w:beforeAutospacing="1" w:after="120" w:line="276" w:lineRule="auto"/>
        <w:ind w:left="360"/>
        <w:jc w:val="both"/>
        <w:rPr>
          <w:rFonts w:eastAsia="Times New Roman" w:cstheme="minorHAnsi"/>
          <w:lang w:eastAsia="pl-PL"/>
        </w:rPr>
      </w:pPr>
      <w:r w:rsidRPr="003B5D59">
        <w:rPr>
          <w:rFonts w:eastAsia="Times New Roman" w:cstheme="minorHAnsi"/>
          <w:lang w:eastAsia="pl-PL"/>
        </w:rPr>
        <w:t> Pragniemy poinformować iż:</w:t>
      </w:r>
    </w:p>
    <w:p w14:paraId="56B24054" w14:textId="596783C5" w:rsidR="003B5D59" w:rsidRPr="003B5D59" w:rsidRDefault="003B5D59" w:rsidP="003B5D59">
      <w:pPr>
        <w:autoSpaceDE w:val="0"/>
        <w:autoSpaceDN w:val="0"/>
        <w:spacing w:before="100" w:beforeAutospacing="1" w:after="120" w:line="276" w:lineRule="auto"/>
        <w:ind w:left="360"/>
        <w:jc w:val="both"/>
        <w:rPr>
          <w:rFonts w:eastAsia="Times New Roman" w:cstheme="minorHAnsi"/>
          <w:lang w:eastAsia="pl-PL"/>
        </w:rPr>
      </w:pPr>
      <w:r w:rsidRPr="003B5D59">
        <w:rPr>
          <w:rFonts w:eastAsia="Times New Roman" w:cstheme="minorHAnsi"/>
          <w:lang w:eastAsia="pl-PL"/>
        </w:rPr>
        <w:t xml:space="preserve"> Certyfikat PKJPA przyznawany jest przez prywatne stowarzyszenie działające w sektorze badawczo – szkoleniowym pn. „Organizacja Firm Badania Opinii i Rynku”, która to organizacja „ustala minimalne normy jakości pracy w zakresie </w:t>
      </w:r>
      <w:r w:rsidRPr="003B5D59">
        <w:rPr>
          <w:rFonts w:eastAsia="Times New Roman" w:cstheme="minorHAnsi"/>
          <w:lang w:eastAsia="pl-PL"/>
        </w:rPr>
        <w:lastRenderedPageBreak/>
        <w:t>organizacji Działu Realizacji oraz sieci terenowej, rekrutacji ankieterów i koordynatorów, ich szkolenia, nadzoru i koordynacji ich pracy, a także kontroli poprawności wykonanej przez nich pracy“ (</w:t>
      </w:r>
      <w:hyperlink r:id="rId7" w:anchor="pkjpa" w:tgtFrame="_blank" w:history="1">
        <w:r w:rsidRPr="003B5D59">
          <w:rPr>
            <w:rFonts w:eastAsia="Times New Roman" w:cstheme="minorHAnsi"/>
            <w:lang w:eastAsia="pl-PL"/>
          </w:rPr>
          <w:t>https://www.ofbor.pl/index.php/standardy-2#pkjpa</w:t>
        </w:r>
      </w:hyperlink>
      <w:r w:rsidRPr="003B5D59">
        <w:rPr>
          <w:rFonts w:eastAsia="Times New Roman" w:cstheme="minorHAnsi"/>
          <w:lang w:eastAsia="pl-PL"/>
        </w:rPr>
        <w:t xml:space="preserve"> );</w:t>
      </w:r>
    </w:p>
    <w:p w14:paraId="0F5ACB55" w14:textId="77777777" w:rsidR="003B5D59" w:rsidRPr="003B5D59" w:rsidRDefault="003B5D59" w:rsidP="003B5D59">
      <w:pPr>
        <w:autoSpaceDE w:val="0"/>
        <w:autoSpaceDN w:val="0"/>
        <w:spacing w:before="100" w:beforeAutospacing="1" w:after="120" w:line="276" w:lineRule="auto"/>
        <w:ind w:left="360"/>
        <w:jc w:val="both"/>
        <w:rPr>
          <w:rFonts w:eastAsia="Times New Roman" w:cstheme="minorHAnsi"/>
          <w:lang w:eastAsia="pl-PL"/>
        </w:rPr>
      </w:pPr>
      <w:r w:rsidRPr="003B5D59">
        <w:rPr>
          <w:rFonts w:eastAsia="Times New Roman" w:cstheme="minorHAnsi"/>
          <w:lang w:eastAsia="pl-PL"/>
        </w:rPr>
        <w:t xml:space="preserve">W branży badawczej nie istnieją regulacje pozwalające uznać lub nie uznać który z podmiotów (krajowych lub międzynarodowych) jest uprawniony do potwierdzania w drodze kontroli/zewnętrznego audytu, że wykonawca spełnia normy jakości prowadzenia badań opinii publicznej. W Ustawie o Swobodzie Działalności Gospodarczej z dnia 02.07.2004r. (patrz: Dz.U. 2004 Nr 173 poz. 1807) ani w żadnych innych przepisach Prawa - nie ma wzmianki o koncesjonowaniu tego typu organów/podmiotów. </w:t>
      </w:r>
    </w:p>
    <w:p w14:paraId="2937362D" w14:textId="77777777" w:rsidR="003B5D59" w:rsidRPr="003B5D59" w:rsidRDefault="003B5D59" w:rsidP="003B5D59">
      <w:pPr>
        <w:autoSpaceDE w:val="0"/>
        <w:autoSpaceDN w:val="0"/>
        <w:spacing w:before="100" w:beforeAutospacing="1" w:after="120" w:line="276" w:lineRule="auto"/>
        <w:ind w:left="360"/>
        <w:jc w:val="both"/>
        <w:rPr>
          <w:rFonts w:eastAsia="Times New Roman" w:cstheme="minorHAnsi"/>
          <w:lang w:eastAsia="pl-PL"/>
        </w:rPr>
      </w:pPr>
      <w:r w:rsidRPr="003B5D59">
        <w:rPr>
          <w:rFonts w:eastAsia="Times New Roman" w:cstheme="minorHAnsi"/>
          <w:lang w:eastAsia="pl-PL"/>
        </w:rPr>
        <w:t xml:space="preserve">Wniosek: każdy zewnętrzny podmiot badawczo – szkoleniowy, wybrany przez firmę badawczą (chcącą potwierdzić jakość i standardy realizowanych przez siebie usług) prowadząc działania w ramach uczciwej konkurencji rynkowej, ma prawo wystawić dokument potwierdzający  (na podstawie przeprowadzonego auditu)  wdrożenie i stosowanie programu kontroli jakości pracy, obejmującej całość procesów związanych ze zbieraniem danych, w szczególności: </w:t>
      </w:r>
    </w:p>
    <w:p w14:paraId="3F0B8E60" w14:textId="5FAD0C00" w:rsidR="003B5D59" w:rsidRPr="003B5D59" w:rsidRDefault="003B5D59" w:rsidP="003B5D59">
      <w:pPr>
        <w:pStyle w:val="Akapitzlist"/>
        <w:numPr>
          <w:ilvl w:val="0"/>
          <w:numId w:val="5"/>
        </w:numPr>
        <w:autoSpaceDE w:val="0"/>
        <w:autoSpaceDN w:val="0"/>
        <w:spacing w:before="100" w:beforeAutospacing="1" w:after="120" w:line="276" w:lineRule="auto"/>
        <w:jc w:val="both"/>
        <w:rPr>
          <w:rFonts w:eastAsia="Times New Roman" w:cstheme="minorHAnsi"/>
          <w:lang w:eastAsia="pl-PL"/>
        </w:rPr>
      </w:pPr>
      <w:r w:rsidRPr="003B5D59">
        <w:rPr>
          <w:rFonts w:eastAsia="Times New Roman" w:cstheme="minorHAnsi"/>
          <w:lang w:eastAsia="pl-PL"/>
        </w:rPr>
        <w:t xml:space="preserve">proces rekrutacji ankieterów, </w:t>
      </w:r>
    </w:p>
    <w:p w14:paraId="3961C2D4" w14:textId="4F66A8F0" w:rsidR="003B5D59" w:rsidRPr="003B5D59" w:rsidRDefault="003B5D59" w:rsidP="003B5D59">
      <w:pPr>
        <w:pStyle w:val="Akapitzlist"/>
        <w:numPr>
          <w:ilvl w:val="0"/>
          <w:numId w:val="5"/>
        </w:numPr>
        <w:autoSpaceDE w:val="0"/>
        <w:autoSpaceDN w:val="0"/>
        <w:spacing w:before="100" w:beforeAutospacing="1" w:after="120" w:line="276" w:lineRule="auto"/>
        <w:jc w:val="both"/>
        <w:rPr>
          <w:rFonts w:eastAsia="Times New Roman" w:cstheme="minorHAnsi"/>
          <w:lang w:eastAsia="pl-PL"/>
        </w:rPr>
      </w:pPr>
      <w:r w:rsidRPr="003B5D59">
        <w:rPr>
          <w:rFonts w:eastAsia="Times New Roman" w:cstheme="minorHAnsi"/>
          <w:lang w:eastAsia="pl-PL"/>
        </w:rPr>
        <w:t xml:space="preserve">szkolenia ankieterów w zakresie realizacji badań metodą CATI lub CAWI (lub inną), </w:t>
      </w:r>
    </w:p>
    <w:p w14:paraId="767C2391" w14:textId="525015CE" w:rsidR="003B5D59" w:rsidRPr="003B5D59" w:rsidRDefault="003B5D59" w:rsidP="003B5D59">
      <w:pPr>
        <w:pStyle w:val="Akapitzlist"/>
        <w:numPr>
          <w:ilvl w:val="0"/>
          <w:numId w:val="5"/>
        </w:numPr>
        <w:autoSpaceDE w:val="0"/>
        <w:autoSpaceDN w:val="0"/>
        <w:spacing w:before="100" w:beforeAutospacing="1" w:after="120" w:line="276" w:lineRule="auto"/>
        <w:jc w:val="both"/>
        <w:rPr>
          <w:rFonts w:eastAsia="Times New Roman" w:cstheme="minorHAnsi"/>
          <w:lang w:eastAsia="pl-PL"/>
        </w:rPr>
      </w:pPr>
      <w:r w:rsidRPr="003B5D59">
        <w:rPr>
          <w:rFonts w:eastAsia="Times New Roman" w:cstheme="minorHAnsi"/>
          <w:lang w:eastAsia="pl-PL"/>
        </w:rPr>
        <w:t>nadzoru i organizacji pracy ankieterów</w:t>
      </w:r>
    </w:p>
    <w:p w14:paraId="6757E643" w14:textId="738012ED" w:rsidR="003B5D59" w:rsidRPr="003B5D59" w:rsidRDefault="003B5D59" w:rsidP="003B5D59">
      <w:pPr>
        <w:autoSpaceDE w:val="0"/>
        <w:autoSpaceDN w:val="0"/>
        <w:spacing w:before="100" w:beforeAutospacing="1" w:after="120" w:line="276" w:lineRule="auto"/>
        <w:ind w:left="360"/>
        <w:jc w:val="both"/>
        <w:rPr>
          <w:rFonts w:eastAsia="Times New Roman" w:cstheme="minorHAnsi"/>
          <w:lang w:eastAsia="pl-PL"/>
        </w:rPr>
      </w:pPr>
      <w:r w:rsidRPr="003B5D59">
        <w:rPr>
          <w:rFonts w:eastAsia="Times New Roman" w:cstheme="minorHAnsi"/>
          <w:lang w:eastAsia="pl-PL"/>
        </w:rPr>
        <w:t> Według naszej opinii, wskazywanie przez Zamawiającego (wydatkującego środki publiczne) wykonawców korzystających z usług audytowych konkretnej firmy jest sprzeczne z zasadą konkurencyjności. Według nas zapis powinien brzmieć: „posiadanie przez Wykonawcę aktualnego certyfikatu Programu Kontroli Jakości Pracy Ankieterów (PKJPA) lub innego równoważnego - Zamawiający uzna, że wykonawca spełnia warunek, jeżeli wykaże, że posiada aktualny certyfikat Programu Kontroli Jakości Pracy Ankieterów (PKJPA) lub inny równoważny”.</w:t>
      </w:r>
    </w:p>
    <w:p w14:paraId="37CDFC7D" w14:textId="77777777" w:rsidR="003B5D59" w:rsidRPr="003B5D59" w:rsidRDefault="003B5D59" w:rsidP="003B5D59">
      <w:pPr>
        <w:ind w:left="360"/>
        <w:jc w:val="both"/>
        <w:rPr>
          <w:rFonts w:eastAsia="Times New Roman" w:cstheme="minorHAnsi"/>
          <w:lang w:eastAsia="pl-PL"/>
        </w:rPr>
      </w:pPr>
      <w:r w:rsidRPr="003B5D59">
        <w:rPr>
          <w:rFonts w:eastAsia="Times New Roman" w:cstheme="minorHAnsi"/>
          <w:u w:val="single"/>
          <w:lang w:eastAsia="pl-PL"/>
        </w:rPr>
        <w:t xml:space="preserve">Odpowiedź: </w:t>
      </w:r>
      <w:r w:rsidRPr="003B5D59">
        <w:rPr>
          <w:rFonts w:eastAsia="Times New Roman" w:cstheme="minorHAnsi"/>
          <w:lang w:eastAsia="pl-PL"/>
        </w:rPr>
        <w:t>Program Kontroli Jakości Pracy Ankieterów (dalej zwany PKJPA) obejmuje całość procedur związanych ze zbieraniem danych. Jest programem kompleksowym i przestrzeganie zawartych w nich wymagań podnosi ogólny poziom empirycznych badań społecznych. Ponieważ PKJPA jest opracowany na podstawie brytyjskiego standardu IQCS, to rzetelne respektowanie jego zaleceń, podobnie jak w przypadku kodeksu ESOMAR, czyni badania opinii i rynku porównywalnymi z badaniami prowadzonymi w innych krajach i zbliża je do wzorów światowych. Zgodnie z wiedzą Zamawiającego, w Polsce najwyższe standardy realizacji badań rynku i opinii społecznej gwarantuje certyfikat Programu Kontroli Jakości Pracy Ankieterów. Z informacji posiadanych przez Zamawiającego wynika, że przekazywane organizacji certyfikującej (audytorom) informacje warunkujące otrzymanie certyfikatu zachowywane są bezwzględnie w tajemnicy i nie są udostępniane pozostałym członkom organizacji.</w:t>
      </w:r>
    </w:p>
    <w:p w14:paraId="2756648B" w14:textId="77777777" w:rsidR="003B5D59" w:rsidRPr="003B5D59" w:rsidRDefault="003B5D59" w:rsidP="003B5D59">
      <w:pPr>
        <w:ind w:left="360"/>
        <w:jc w:val="both"/>
        <w:rPr>
          <w:rFonts w:eastAsia="Times New Roman" w:cstheme="minorHAnsi"/>
          <w:lang w:eastAsia="pl-PL"/>
        </w:rPr>
      </w:pPr>
      <w:r w:rsidRPr="003B5D59">
        <w:rPr>
          <w:rFonts w:eastAsia="Times New Roman" w:cstheme="minorHAnsi"/>
          <w:lang w:eastAsia="pl-PL"/>
        </w:rPr>
        <w:t xml:space="preserve">Jednocześnie,  informuję, że Zamawiający uwzględnia Pana wniosek i rozszerza zapisy Zapytania ofertowego, punkt IV 1. otrzymuje brzmienie: "Posiadanie przez Wykonawcę certyfikatu Programu Kontroli Jakości Pracy Ankieterów (PKJPA) lub certyfikatu równoważnego do certyfikatu Programu Jakości Pracy Ankieterów - Zamawiający uzna, że Wykonawca spełnia warunek, jeżeli wykaże, że posiada certyfikat Programu Kontroli Jakości Pracy Ankieterów lub certyfikat równoważny z certyfikatem PKJPA. W przypadku przedłożenia certyfikatu równoważnego, Wykonawca musi udowodnić Zamawiającemu wraz ze złożeniem certyfikatu równoważnego, że certyfikat jest równoważny z certyfikatem Programu Kontroli Jakości Pracy Ankieterów (PKJPA), w szczególności poprzez dostarczenie Zamawiającemu tekstu normy, na podstawie której powstała procedura audytu, dokumentacji schematu audytu wraz ze szczegółowym opisem wymogów będących warunkiem uzyskania certyfikatu - wystawionych przez jednostkę </w:t>
      </w:r>
      <w:r w:rsidRPr="003B5D59">
        <w:rPr>
          <w:rFonts w:eastAsia="Times New Roman" w:cstheme="minorHAnsi"/>
          <w:lang w:eastAsia="pl-PL"/>
        </w:rPr>
        <w:lastRenderedPageBreak/>
        <w:t>certyfikującą. W przypadku, gdy wyżej wymienione dokumenty będą w języku obcym, Wykonawca zobowiązany jest złożyć je wraz z tłumaczeniem na język polski."</w:t>
      </w:r>
    </w:p>
    <w:p w14:paraId="385BEEDB" w14:textId="77777777" w:rsidR="003B5D59" w:rsidRPr="003B5D59" w:rsidRDefault="003B5D59" w:rsidP="003B5D59">
      <w:pPr>
        <w:ind w:left="360"/>
        <w:jc w:val="both"/>
        <w:rPr>
          <w:rFonts w:eastAsia="Times New Roman" w:cstheme="minorHAnsi"/>
          <w:u w:val="single"/>
          <w:lang w:eastAsia="pl-PL"/>
        </w:rPr>
      </w:pPr>
    </w:p>
    <w:p w14:paraId="094D083C" w14:textId="39E7108A" w:rsidR="003B5D59" w:rsidRPr="003B5D59" w:rsidRDefault="003B5D59" w:rsidP="003B5D59">
      <w:pPr>
        <w:ind w:left="360"/>
        <w:jc w:val="both"/>
        <w:rPr>
          <w:rFonts w:eastAsia="Times New Roman" w:cstheme="minorHAnsi"/>
          <w:u w:val="single"/>
          <w:lang w:eastAsia="pl-PL"/>
        </w:rPr>
      </w:pPr>
    </w:p>
    <w:sectPr w:rsidR="003B5D59" w:rsidRPr="003B5D59" w:rsidSect="006F5E4F">
      <w:headerReference w:type="even" r:id="rId8"/>
      <w:headerReference w:type="default" r:id="rId9"/>
      <w:footerReference w:type="even" r:id="rId10"/>
      <w:footerReference w:type="default" r:id="rId11"/>
      <w:headerReference w:type="first" r:id="rId12"/>
      <w:footerReference w:type="first" r:id="rId13"/>
      <w:pgSz w:w="11906" w:h="16838"/>
      <w:pgMar w:top="1418"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07279" w14:textId="77777777" w:rsidR="00B027AB" w:rsidRDefault="00B027AB" w:rsidP="00BF4403">
      <w:pPr>
        <w:spacing w:after="0" w:line="240" w:lineRule="auto"/>
      </w:pPr>
      <w:r>
        <w:separator/>
      </w:r>
    </w:p>
  </w:endnote>
  <w:endnote w:type="continuationSeparator" w:id="0">
    <w:p w14:paraId="152FB58B" w14:textId="77777777" w:rsidR="00B027AB" w:rsidRDefault="00B027AB" w:rsidP="00BF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9665" w14:textId="77777777" w:rsidR="00B0395F" w:rsidRDefault="00B0395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EA86" w14:textId="77777777" w:rsidR="00B0395F" w:rsidRDefault="00B0395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EC27" w14:textId="77777777" w:rsidR="00B0395F" w:rsidRDefault="00B039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BDCC8" w14:textId="77777777" w:rsidR="00B027AB" w:rsidRDefault="00B027AB" w:rsidP="00BF4403">
      <w:pPr>
        <w:spacing w:after="0" w:line="240" w:lineRule="auto"/>
      </w:pPr>
      <w:r>
        <w:separator/>
      </w:r>
    </w:p>
  </w:footnote>
  <w:footnote w:type="continuationSeparator" w:id="0">
    <w:p w14:paraId="57E26EC1" w14:textId="77777777" w:rsidR="00B027AB" w:rsidRDefault="00B027AB" w:rsidP="00BF4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056F" w14:textId="77777777" w:rsidR="00B0395F" w:rsidRDefault="00B0395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tblLook w:val="04A0" w:firstRow="1" w:lastRow="0" w:firstColumn="1" w:lastColumn="0" w:noHBand="0" w:noVBand="1"/>
    </w:tblPr>
    <w:tblGrid>
      <w:gridCol w:w="2766"/>
      <w:gridCol w:w="4384"/>
      <w:gridCol w:w="1776"/>
      <w:gridCol w:w="1836"/>
    </w:tblGrid>
    <w:tr w:rsidR="008F3CB5" w14:paraId="3551199E" w14:textId="77777777" w:rsidTr="008F3CB5">
      <w:tc>
        <w:tcPr>
          <w:tcW w:w="2766" w:type="dxa"/>
          <w:vAlign w:val="center"/>
        </w:tcPr>
        <w:p w14:paraId="3C2D3EBE" w14:textId="461C469E" w:rsidR="008F3CB5" w:rsidRDefault="008F3CB5">
          <w:pPr>
            <w:pStyle w:val="Nagwek"/>
          </w:pPr>
          <w:r>
            <w:rPr>
              <w:noProof/>
            </w:rPr>
            <w:drawing>
              <wp:inline distT="0" distB="0" distL="0" distR="0" wp14:anchorId="45CDF3D1" wp14:editId="3A1B7A99">
                <wp:extent cx="1612179" cy="733425"/>
                <wp:effectExtent l="0" t="0" r="762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rotWithShape="1">
                        <a:blip r:embed="rId1">
                          <a:extLst>
                            <a:ext uri="{28A0092B-C50C-407E-A947-70E740481C1C}">
                              <a14:useLocalDpi xmlns:a14="http://schemas.microsoft.com/office/drawing/2010/main" val="0"/>
                            </a:ext>
                          </a:extLst>
                        </a:blip>
                        <a:srcRect b="8041"/>
                        <a:stretch/>
                      </pic:blipFill>
                      <pic:spPr bwMode="auto">
                        <a:xfrm>
                          <a:off x="0" y="0"/>
                          <a:ext cx="1630002" cy="741533"/>
                        </a:xfrm>
                        <a:prstGeom prst="rect">
                          <a:avLst/>
                        </a:prstGeom>
                        <a:ln>
                          <a:noFill/>
                        </a:ln>
                        <a:extLst>
                          <a:ext uri="{53640926-AAD7-44D8-BBD7-CCE9431645EC}">
                            <a14:shadowObscured xmlns:a14="http://schemas.microsoft.com/office/drawing/2010/main"/>
                          </a:ext>
                        </a:extLst>
                      </pic:spPr>
                    </pic:pic>
                  </a:graphicData>
                </a:graphic>
              </wp:inline>
            </w:drawing>
          </w:r>
        </w:p>
      </w:tc>
      <w:tc>
        <w:tcPr>
          <w:tcW w:w="4884" w:type="dxa"/>
          <w:vAlign w:val="center"/>
        </w:tcPr>
        <w:p w14:paraId="67B4E2D1" w14:textId="2114A5FB" w:rsidR="008F3CB5" w:rsidRPr="00913018" w:rsidRDefault="008F3CB5" w:rsidP="0064095F">
          <w:pPr>
            <w:pStyle w:val="Nagwek"/>
            <w:jc w:val="center"/>
            <w:rPr>
              <w:i/>
              <w:iCs/>
            </w:rPr>
          </w:pPr>
          <w:r w:rsidRPr="00913018">
            <w:rPr>
              <w:i/>
              <w:iCs/>
              <w:sz w:val="16"/>
              <w:szCs w:val="16"/>
            </w:rPr>
            <w:t>Projekt „Odtworzenie oraz zachowanie obszarów bagiennych, torfowisk i terenów podmokłych na obszarach Natura 2000 i Zielonej Infrastruktury” (</w:t>
          </w:r>
          <w:r w:rsidR="00B0395F" w:rsidRPr="00B0395F">
            <w:rPr>
              <w:rFonts w:cstheme="minorHAnsi"/>
              <w:i/>
              <w:iCs/>
              <w:sz w:val="16"/>
              <w:szCs w:val="16"/>
            </w:rPr>
            <w:t>LIFE21 IPE/PL/069640</w:t>
          </w:r>
          <w:r w:rsidRPr="00913018">
            <w:rPr>
              <w:i/>
              <w:iCs/>
              <w:sz w:val="16"/>
              <w:szCs w:val="16"/>
            </w:rPr>
            <w:t>) jest finansowany ze środków Unii Europejskiej w ramach Programu LIFE i współfinansowany przez Narodowy Fundusz Ochrony Środowiska i Gospodarki Wodnej</w:t>
          </w:r>
        </w:p>
      </w:tc>
      <w:tc>
        <w:tcPr>
          <w:tcW w:w="1134" w:type="dxa"/>
          <w:vAlign w:val="center"/>
        </w:tcPr>
        <w:p w14:paraId="2ECCE24E" w14:textId="4019E191" w:rsidR="008F3CB5" w:rsidRPr="00913018" w:rsidRDefault="008F3CB5" w:rsidP="0064095F">
          <w:pPr>
            <w:pStyle w:val="Nagwek"/>
            <w:jc w:val="center"/>
            <w:rPr>
              <w:i/>
              <w:iCs/>
            </w:rPr>
          </w:pPr>
          <w:r w:rsidRPr="00913018">
            <w:rPr>
              <w:i/>
              <w:iCs/>
              <w:noProof/>
            </w:rPr>
            <w:drawing>
              <wp:inline distT="0" distB="0" distL="0" distR="0" wp14:anchorId="4BF75A38" wp14:editId="0FBC623A">
                <wp:extent cx="982345" cy="676275"/>
                <wp:effectExtent l="0" t="0" r="8255" b="952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2">
                          <a:extLst>
                            <a:ext uri="{28A0092B-C50C-407E-A947-70E740481C1C}">
                              <a14:useLocalDpi xmlns:a14="http://schemas.microsoft.com/office/drawing/2010/main" val="0"/>
                            </a:ext>
                          </a:extLst>
                        </a:blip>
                        <a:stretch>
                          <a:fillRect/>
                        </a:stretch>
                      </pic:blipFill>
                      <pic:spPr>
                        <a:xfrm>
                          <a:off x="0" y="0"/>
                          <a:ext cx="982345" cy="676275"/>
                        </a:xfrm>
                        <a:prstGeom prst="rect">
                          <a:avLst/>
                        </a:prstGeom>
                      </pic:spPr>
                    </pic:pic>
                  </a:graphicData>
                </a:graphic>
              </wp:inline>
            </w:drawing>
          </w:r>
        </w:p>
      </w:tc>
      <w:tc>
        <w:tcPr>
          <w:tcW w:w="1836" w:type="dxa"/>
          <w:vAlign w:val="center"/>
        </w:tcPr>
        <w:p w14:paraId="051297AA" w14:textId="0884FDA0" w:rsidR="008F3CB5" w:rsidRDefault="008F3CB5" w:rsidP="006F5E4F">
          <w:pPr>
            <w:pStyle w:val="Nagwek"/>
            <w:jc w:val="right"/>
          </w:pPr>
          <w:r>
            <w:rPr>
              <w:noProof/>
            </w:rPr>
            <w:drawing>
              <wp:inline distT="0" distB="0" distL="0" distR="0" wp14:anchorId="7102AAAE" wp14:editId="6E6E39C5">
                <wp:extent cx="1020508" cy="737623"/>
                <wp:effectExtent l="0" t="0" r="8255" b="571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3">
                          <a:extLst>
                            <a:ext uri="{28A0092B-C50C-407E-A947-70E740481C1C}">
                              <a14:useLocalDpi xmlns:a14="http://schemas.microsoft.com/office/drawing/2010/main" val="0"/>
                            </a:ext>
                          </a:extLst>
                        </a:blip>
                        <a:stretch>
                          <a:fillRect/>
                        </a:stretch>
                      </pic:blipFill>
                      <pic:spPr>
                        <a:xfrm>
                          <a:off x="0" y="0"/>
                          <a:ext cx="1046114" cy="756131"/>
                        </a:xfrm>
                        <a:prstGeom prst="rect">
                          <a:avLst/>
                        </a:prstGeom>
                      </pic:spPr>
                    </pic:pic>
                  </a:graphicData>
                </a:graphic>
              </wp:inline>
            </w:drawing>
          </w:r>
        </w:p>
      </w:tc>
    </w:tr>
  </w:tbl>
  <w:p w14:paraId="17C053A4" w14:textId="77777777" w:rsidR="00BF4403" w:rsidRDefault="00BF440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5A35E" w14:textId="77777777" w:rsidR="00B0395F" w:rsidRDefault="00B039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2DAD"/>
    <w:multiLevelType w:val="hybridMultilevel"/>
    <w:tmpl w:val="84BC9608"/>
    <w:lvl w:ilvl="0" w:tplc="C012F108">
      <w:numFmt w:val="bullet"/>
      <w:lvlText w:val="·"/>
      <w:lvlJc w:val="left"/>
      <w:pPr>
        <w:ind w:left="1044" w:hanging="624"/>
      </w:pPr>
      <w:rPr>
        <w:rFonts w:ascii="Times New Roman" w:eastAsia="Times New Roman" w:hAnsi="Times New Roman"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 w15:restartNumberingAfterBreak="0">
    <w:nsid w:val="20E77C27"/>
    <w:multiLevelType w:val="hybridMultilevel"/>
    <w:tmpl w:val="4BC2C78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225F436A"/>
    <w:multiLevelType w:val="hybridMultilevel"/>
    <w:tmpl w:val="182A74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5E69A7"/>
    <w:multiLevelType w:val="multilevel"/>
    <w:tmpl w:val="FAA2B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F34B31"/>
    <w:multiLevelType w:val="hybridMultilevel"/>
    <w:tmpl w:val="FE5EE0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03"/>
    <w:rsid w:val="00292EDA"/>
    <w:rsid w:val="0029788C"/>
    <w:rsid w:val="00303CE3"/>
    <w:rsid w:val="003753FD"/>
    <w:rsid w:val="003B5D59"/>
    <w:rsid w:val="00536BDD"/>
    <w:rsid w:val="0064095F"/>
    <w:rsid w:val="006F5E4F"/>
    <w:rsid w:val="008F3CB5"/>
    <w:rsid w:val="00913018"/>
    <w:rsid w:val="00923BEB"/>
    <w:rsid w:val="00B027AB"/>
    <w:rsid w:val="00B0395F"/>
    <w:rsid w:val="00BF4403"/>
    <w:rsid w:val="00D250B5"/>
    <w:rsid w:val="00F11F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88435"/>
  <w15:chartTrackingRefBased/>
  <w15:docId w15:val="{B4668E15-19BF-4402-836F-165864AB3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F440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F4403"/>
  </w:style>
  <w:style w:type="paragraph" w:styleId="Stopka">
    <w:name w:val="footer"/>
    <w:basedOn w:val="Normalny"/>
    <w:link w:val="StopkaZnak"/>
    <w:uiPriority w:val="99"/>
    <w:unhideWhenUsed/>
    <w:rsid w:val="00BF44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4403"/>
  </w:style>
  <w:style w:type="table" w:styleId="Tabela-Siatka">
    <w:name w:val="Table Grid"/>
    <w:basedOn w:val="Standardowy"/>
    <w:uiPriority w:val="39"/>
    <w:rsid w:val="00BF4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23BEB"/>
    <w:pPr>
      <w:ind w:left="720"/>
      <w:contextualSpacing/>
    </w:pPr>
  </w:style>
  <w:style w:type="paragraph" w:styleId="NormalnyWeb">
    <w:name w:val="Normal (Web)"/>
    <w:basedOn w:val="Normalny"/>
    <w:uiPriority w:val="99"/>
    <w:semiHidden/>
    <w:unhideWhenUsed/>
    <w:rsid w:val="003B5D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3B5D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791746">
      <w:bodyDiv w:val="1"/>
      <w:marLeft w:val="0"/>
      <w:marRight w:val="0"/>
      <w:marTop w:val="0"/>
      <w:marBottom w:val="0"/>
      <w:divBdr>
        <w:top w:val="none" w:sz="0" w:space="0" w:color="auto"/>
        <w:left w:val="none" w:sz="0" w:space="0" w:color="auto"/>
        <w:bottom w:val="none" w:sz="0" w:space="0" w:color="auto"/>
        <w:right w:val="none" w:sz="0" w:space="0" w:color="auto"/>
      </w:divBdr>
    </w:div>
    <w:div w:id="198372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ofbor.pl/index.php/standardy-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1001</Words>
  <Characters>6008</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Pałucha</dc:creator>
  <cp:keywords/>
  <dc:description/>
  <cp:lastModifiedBy>Małgorzata Podgórska</cp:lastModifiedBy>
  <cp:revision>5</cp:revision>
  <dcterms:created xsi:type="dcterms:W3CDTF">2023-01-12T13:57:00Z</dcterms:created>
  <dcterms:modified xsi:type="dcterms:W3CDTF">2023-12-29T11:27:00Z</dcterms:modified>
</cp:coreProperties>
</file>